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A2" w:rsidRPr="008D09A2" w:rsidRDefault="00D65CC6" w:rsidP="008D09A2">
      <w:pPr>
        <w:rPr>
          <w:rFonts w:ascii="AdvOT77db9845" w:hAnsi="AdvOT77db9845" w:cs="AdvOT77db9845"/>
          <w:sz w:val="28"/>
          <w:szCs w:val="28"/>
        </w:rPr>
      </w:pPr>
      <w:r>
        <w:rPr>
          <w:rFonts w:ascii="AdvOT77db9845" w:hAnsi="AdvOT77db9845" w:cs="AdvOT77db9845"/>
          <w:sz w:val="28"/>
          <w:szCs w:val="28"/>
        </w:rPr>
        <w:t>O</w:t>
      </w:r>
      <w:r w:rsidRPr="008D09A2">
        <w:rPr>
          <w:rFonts w:ascii="AdvOT77db9845" w:hAnsi="AdvOT77db9845" w:cs="AdvOT77db9845"/>
          <w:sz w:val="28"/>
          <w:szCs w:val="28"/>
        </w:rPr>
        <w:t xml:space="preserve">n April 27, </w:t>
      </w:r>
      <w:r w:rsidRPr="00D65CC6">
        <w:rPr>
          <w:rFonts w:ascii="AdvOT77db9845" w:hAnsi="AdvOT77db9845" w:cs="AdvOT77db9845"/>
          <w:sz w:val="28"/>
          <w:szCs w:val="28"/>
          <w:highlight w:val="yellow"/>
        </w:rPr>
        <w:t>2016</w:t>
      </w:r>
      <w:r>
        <w:rPr>
          <w:rFonts w:ascii="AdvOT77db9845" w:hAnsi="AdvOT77db9845" w:cs="AdvOT77db9845"/>
          <w:sz w:val="28"/>
          <w:szCs w:val="28"/>
        </w:rPr>
        <w:t xml:space="preserve"> </w:t>
      </w:r>
      <w:r w:rsidR="00710FA5" w:rsidRPr="008D09A2">
        <w:rPr>
          <w:rFonts w:ascii="AdvOT77db9845" w:hAnsi="AdvOT77db9845" w:cs="AdvOT77db9845"/>
          <w:sz w:val="28"/>
          <w:szCs w:val="28"/>
        </w:rPr>
        <w:t xml:space="preserve">Cook J, </w:t>
      </w:r>
      <w:proofErr w:type="spellStart"/>
      <w:r w:rsidR="00710FA5" w:rsidRPr="008D09A2">
        <w:rPr>
          <w:rFonts w:ascii="AdvOT77db9845" w:hAnsi="AdvOT77db9845" w:cs="AdvOT77db9845"/>
          <w:sz w:val="28"/>
          <w:szCs w:val="28"/>
        </w:rPr>
        <w:t>Nucittelli</w:t>
      </w:r>
      <w:proofErr w:type="spellEnd"/>
      <w:r w:rsidR="00710FA5" w:rsidRPr="008D09A2">
        <w:rPr>
          <w:rFonts w:ascii="AdvOT77db9845" w:hAnsi="AdvOT77db9845" w:cs="AdvOT77db9845"/>
          <w:sz w:val="28"/>
          <w:szCs w:val="28"/>
        </w:rPr>
        <w:t xml:space="preserve"> D, and others </w:t>
      </w:r>
      <w:r w:rsidR="008D09A2" w:rsidRPr="008D09A2">
        <w:rPr>
          <w:rFonts w:ascii="AdvOT77db9845" w:hAnsi="AdvOT77db9845" w:cs="AdvOT77db9845"/>
          <w:sz w:val="28"/>
          <w:szCs w:val="28"/>
        </w:rPr>
        <w:t>published</w:t>
      </w:r>
      <w:r w:rsidR="008D09A2" w:rsidRPr="008D09A2">
        <w:rPr>
          <w:rFonts w:ascii="AdvOT77db9845" w:hAnsi="AdvOT77db9845" w:cs="AdvOT77db9845"/>
          <w:sz w:val="28"/>
          <w:szCs w:val="28"/>
        </w:rPr>
        <w:br/>
        <w:t>"</w:t>
      </w:r>
      <w:r w:rsidR="008D09A2" w:rsidRPr="008D09A2">
        <w:rPr>
          <w:sz w:val="28"/>
          <w:szCs w:val="28"/>
        </w:rPr>
        <w:t xml:space="preserve"> </w:t>
      </w:r>
      <w:r w:rsidR="008D09A2" w:rsidRPr="008D09A2">
        <w:rPr>
          <w:sz w:val="28"/>
          <w:szCs w:val="28"/>
        </w:rPr>
        <w:t xml:space="preserve">Consensus </w:t>
      </w:r>
      <w:proofErr w:type="gramStart"/>
      <w:r w:rsidR="008D09A2" w:rsidRPr="008D09A2">
        <w:rPr>
          <w:sz w:val="28"/>
          <w:szCs w:val="28"/>
        </w:rPr>
        <w:t>On</w:t>
      </w:r>
      <w:proofErr w:type="gramEnd"/>
      <w:r w:rsidR="008D09A2" w:rsidRPr="008D09A2">
        <w:rPr>
          <w:sz w:val="28"/>
          <w:szCs w:val="28"/>
        </w:rPr>
        <w:t xml:space="preserve"> Consensus: 97% Of Climate Scientists Say Climate Scientists Are Right On Global Warming</w:t>
      </w:r>
      <w:r w:rsidR="008D09A2" w:rsidRPr="008D09A2">
        <w:rPr>
          <w:rFonts w:ascii="AdvOT77db9845" w:hAnsi="AdvOT77db9845" w:cs="AdvOT77db9845"/>
          <w:sz w:val="28"/>
          <w:szCs w:val="28"/>
        </w:rPr>
        <w:t xml:space="preserve"> ".</w:t>
      </w:r>
    </w:p>
    <w:p w:rsidR="00710FA5" w:rsidRPr="008D09A2" w:rsidRDefault="00710FA5" w:rsidP="008D09A2">
      <w:pPr>
        <w:rPr>
          <w:rFonts w:ascii="AdvOT77db9845" w:hAnsi="AdvOT77db9845" w:cs="AdvOT77db9845"/>
          <w:sz w:val="28"/>
          <w:szCs w:val="28"/>
        </w:rPr>
      </w:pPr>
    </w:p>
    <w:p w:rsidR="008D09A2" w:rsidRPr="008D09A2" w:rsidRDefault="008D09A2" w:rsidP="008D09A2">
      <w:pPr>
        <w:rPr>
          <w:rFonts w:ascii="AdvOT77db9845" w:hAnsi="AdvOT77db9845" w:cs="AdvOT77db9845"/>
          <w:sz w:val="28"/>
          <w:szCs w:val="28"/>
        </w:rPr>
      </w:pPr>
      <w:r w:rsidRPr="008D09A2">
        <w:rPr>
          <w:rFonts w:ascii="AdvOT77db9845" w:hAnsi="AdvOT77db9845" w:cs="AdvOT77db9845"/>
          <w:sz w:val="28"/>
          <w:szCs w:val="28"/>
        </w:rPr>
        <w:t>This 2016 paper finds that</w:t>
      </w:r>
    </w:p>
    <w:p w:rsidR="008D09A2" w:rsidRPr="008D09A2" w:rsidRDefault="008D09A2" w:rsidP="008D09A2">
      <w:pPr>
        <w:rPr>
          <w:rFonts w:ascii="Verdana" w:hAnsi="Verdana"/>
          <w:color w:val="494949"/>
          <w:sz w:val="28"/>
          <w:szCs w:val="28"/>
        </w:rPr>
      </w:pPr>
      <w:r w:rsidRPr="008D09A2">
        <w:rPr>
          <w:rFonts w:ascii="Verdana" w:hAnsi="Verdana"/>
          <w:color w:val="494949"/>
          <w:sz w:val="28"/>
          <w:szCs w:val="28"/>
          <w:highlight w:val="yellow"/>
        </w:rPr>
        <w:t>"</w:t>
      </w:r>
      <w:r w:rsidRPr="008D09A2">
        <w:rPr>
          <w:rFonts w:ascii="Verdana" w:hAnsi="Verdana"/>
          <w:color w:val="494949"/>
          <w:sz w:val="28"/>
          <w:szCs w:val="28"/>
          <w:highlight w:val="yellow"/>
        </w:rPr>
        <w:t>A number of studies converged on the 97% consensus value</w:t>
      </w:r>
      <w:r w:rsidRPr="008D09A2">
        <w:rPr>
          <w:rFonts w:ascii="Verdana" w:hAnsi="Verdana"/>
          <w:color w:val="494949"/>
          <w:sz w:val="28"/>
          <w:szCs w:val="28"/>
        </w:rPr>
        <w:t xml:space="preserve">. </w:t>
      </w:r>
      <w:r w:rsidRPr="008D09A2">
        <w:rPr>
          <w:rFonts w:ascii="Verdana" w:hAnsi="Verdana"/>
          <w:color w:val="FF00FF"/>
          <w:sz w:val="28"/>
          <w:szCs w:val="28"/>
        </w:rPr>
        <w:t>[4 out of 7, in fact.]</w:t>
      </w:r>
      <w:r w:rsidRPr="008D09A2">
        <w:rPr>
          <w:rFonts w:ascii="Verdana" w:hAnsi="Verdana"/>
          <w:color w:val="494949"/>
          <w:sz w:val="28"/>
          <w:szCs w:val="28"/>
        </w:rPr>
        <w:t xml:space="preserve"> This is why the 97% figure is often invoked, having been mentioned by such public figures as </w:t>
      </w:r>
      <w:hyperlink r:id="rId5" w:history="1">
        <w:r w:rsidRPr="008D09A2">
          <w:rPr>
            <w:rFonts w:ascii="Verdana" w:hAnsi="Verdana"/>
            <w:color w:val="3D4A89"/>
            <w:sz w:val="28"/>
            <w:szCs w:val="28"/>
            <w:u w:val="single"/>
          </w:rPr>
          <w:t>President Barack Obama</w:t>
        </w:r>
      </w:hyperlink>
      <w:r w:rsidRPr="008D09A2">
        <w:rPr>
          <w:rFonts w:ascii="Verdana" w:hAnsi="Verdana"/>
          <w:color w:val="494949"/>
          <w:sz w:val="28"/>
          <w:szCs w:val="28"/>
        </w:rPr>
        <w:t>, </w:t>
      </w:r>
      <w:hyperlink r:id="rId6" w:history="1">
        <w:r w:rsidRPr="008D09A2">
          <w:rPr>
            <w:rFonts w:ascii="Verdana" w:hAnsi="Verdana"/>
            <w:color w:val="3D4A89"/>
            <w:sz w:val="28"/>
            <w:szCs w:val="28"/>
            <w:u w:val="single"/>
          </w:rPr>
          <w:t>Prime Minister David Cameron</w:t>
        </w:r>
      </w:hyperlink>
      <w:r w:rsidRPr="008D09A2">
        <w:rPr>
          <w:rFonts w:ascii="Verdana" w:hAnsi="Verdana"/>
          <w:color w:val="494949"/>
          <w:sz w:val="28"/>
          <w:szCs w:val="28"/>
        </w:rPr>
        <w:t> and </w:t>
      </w:r>
      <w:hyperlink r:id="rId7" w:history="1">
        <w:r w:rsidRPr="008D09A2">
          <w:rPr>
            <w:rFonts w:ascii="Verdana" w:hAnsi="Verdana"/>
            <w:color w:val="3D4A89"/>
            <w:sz w:val="28"/>
            <w:szCs w:val="28"/>
            <w:u w:val="single"/>
          </w:rPr>
          <w:t>US Senator Bernie Sanders</w:t>
        </w:r>
      </w:hyperlink>
      <w:r w:rsidRPr="008D09A2">
        <w:rPr>
          <w:rFonts w:ascii="Verdana" w:hAnsi="Verdana"/>
          <w:color w:val="494949"/>
          <w:sz w:val="28"/>
          <w:szCs w:val="28"/>
        </w:rPr>
        <w:t>.</w:t>
      </w:r>
      <w:r w:rsidRPr="008D09A2">
        <w:rPr>
          <w:rFonts w:ascii="Verdana" w:hAnsi="Verdana"/>
          <w:color w:val="494949"/>
          <w:sz w:val="28"/>
          <w:szCs w:val="28"/>
        </w:rPr>
        <w:t>"</w:t>
      </w:r>
    </w:p>
    <w:p w:rsidR="00710FA5" w:rsidRPr="008D09A2" w:rsidRDefault="00710FA5" w:rsidP="008D09A2">
      <w:pPr>
        <w:rPr>
          <w:rFonts w:ascii="AdvOT77db9845" w:hAnsi="AdvOT77db9845" w:cs="AdvOT77db9845"/>
          <w:sz w:val="28"/>
          <w:szCs w:val="28"/>
        </w:rPr>
      </w:pPr>
    </w:p>
    <w:p w:rsidR="008D09A2" w:rsidRPr="008D09A2" w:rsidRDefault="008D09A2" w:rsidP="008D09A2">
      <w:pPr>
        <w:rPr>
          <w:rFonts w:ascii="AdvOT77db9845" w:hAnsi="AdvOT77db9845" w:cs="AdvOT77db9845"/>
          <w:sz w:val="28"/>
          <w:szCs w:val="28"/>
        </w:rPr>
      </w:pPr>
      <w:proofErr w:type="spellStart"/>
      <w:r w:rsidRPr="00D65CC6">
        <w:rPr>
          <w:rFonts w:ascii="AdvOT77db9845" w:hAnsi="AdvOT77db9845" w:cs="AdvOT77db9845"/>
          <w:sz w:val="28"/>
          <w:szCs w:val="28"/>
          <w:u w:val="single"/>
        </w:rPr>
        <w:t>Concensus</w:t>
      </w:r>
      <w:proofErr w:type="spellEnd"/>
      <w:r w:rsidRPr="00D65CC6">
        <w:rPr>
          <w:rFonts w:ascii="AdvOT77db9845" w:hAnsi="AdvOT77db9845" w:cs="AdvOT77db9845"/>
          <w:sz w:val="28"/>
          <w:szCs w:val="28"/>
          <w:u w:val="single"/>
        </w:rPr>
        <w:t xml:space="preserve"> </w:t>
      </w:r>
      <w:proofErr w:type="gramStart"/>
      <w:r w:rsidRPr="00D65CC6">
        <w:rPr>
          <w:rFonts w:ascii="AdvOT77db9845" w:hAnsi="AdvOT77db9845" w:cs="AdvOT77db9845"/>
          <w:sz w:val="28"/>
          <w:szCs w:val="28"/>
          <w:u w:val="single"/>
        </w:rPr>
        <w:t>On</w:t>
      </w:r>
      <w:proofErr w:type="gramEnd"/>
      <w:r w:rsidRPr="00D65CC6">
        <w:rPr>
          <w:rFonts w:ascii="AdvOT77db9845" w:hAnsi="AdvOT77db9845" w:cs="AdvOT77db9845"/>
          <w:sz w:val="28"/>
          <w:szCs w:val="28"/>
          <w:u w:val="single"/>
        </w:rPr>
        <w:t xml:space="preserve"> Consensus</w:t>
      </w:r>
      <w:r w:rsidRPr="008D09A2">
        <w:rPr>
          <w:rFonts w:ascii="AdvOT77db9845" w:hAnsi="AdvOT77db9845" w:cs="AdvOT77db9845"/>
          <w:sz w:val="28"/>
          <w:szCs w:val="28"/>
        </w:rPr>
        <w:t xml:space="preserve"> also indicates that the 97% 'consensus value' paper is </w:t>
      </w:r>
    </w:p>
    <w:p w:rsidR="008D09A2" w:rsidRPr="008D09A2" w:rsidRDefault="008D09A2" w:rsidP="008D09A2">
      <w:pPr>
        <w:rPr>
          <w:rFonts w:ascii="AdvOT77db9845" w:hAnsi="AdvOT77db9845" w:cs="AdvOT77db9845"/>
          <w:sz w:val="28"/>
          <w:szCs w:val="28"/>
        </w:rPr>
      </w:pPr>
    </w:p>
    <w:p w:rsidR="00710FA5" w:rsidRPr="008D09A2" w:rsidRDefault="00710FA5" w:rsidP="008D09A2">
      <w:pPr>
        <w:pStyle w:val="ListParagraph"/>
        <w:numPr>
          <w:ilvl w:val="0"/>
          <w:numId w:val="2"/>
        </w:numPr>
        <w:rPr>
          <w:rFonts w:ascii="AdvOT77db9845" w:hAnsi="AdvOT77db9845" w:cs="AdvOT77db9845"/>
          <w:sz w:val="28"/>
          <w:szCs w:val="28"/>
        </w:rPr>
      </w:pPr>
      <w:r w:rsidRPr="008D09A2">
        <w:rPr>
          <w:rFonts w:ascii="AdvOT77db9845" w:hAnsi="AdvOT77db9845" w:cs="AdvOT77db9845"/>
          <w:sz w:val="28"/>
          <w:szCs w:val="28"/>
        </w:rPr>
        <w:t xml:space="preserve">Cook J, </w:t>
      </w:r>
      <w:proofErr w:type="spellStart"/>
      <w:r w:rsidRPr="008D09A2">
        <w:rPr>
          <w:rFonts w:ascii="AdvOT77db9845" w:hAnsi="AdvOT77db9845" w:cs="AdvOT77db9845"/>
          <w:sz w:val="28"/>
          <w:szCs w:val="28"/>
        </w:rPr>
        <w:t>Nuccitelli</w:t>
      </w:r>
      <w:proofErr w:type="spellEnd"/>
      <w:r w:rsidRPr="008D09A2">
        <w:rPr>
          <w:rFonts w:ascii="AdvOT77db9845" w:hAnsi="AdvOT77db9845" w:cs="AdvOT77db9845"/>
          <w:sz w:val="28"/>
          <w:szCs w:val="28"/>
        </w:rPr>
        <w:t xml:space="preserve"> D, Gre</w:t>
      </w:r>
      <w:r w:rsidR="008D09A2" w:rsidRPr="008D09A2">
        <w:rPr>
          <w:rFonts w:ascii="AdvOT77db9845" w:hAnsi="AdvOT77db9845" w:cs="AdvOT77db9845"/>
          <w:sz w:val="28"/>
          <w:szCs w:val="28"/>
        </w:rPr>
        <w:t xml:space="preserve">en SA, Richardson M, Winkler B, </w:t>
      </w:r>
      <w:r w:rsidRPr="008D09A2">
        <w:rPr>
          <w:rFonts w:ascii="AdvOT77db9845" w:hAnsi="AdvOT77db9845" w:cs="AdvOT77db9845"/>
          <w:sz w:val="28"/>
          <w:szCs w:val="28"/>
        </w:rPr>
        <w:t>Painting R, Way R, Jacob</w:t>
      </w:r>
      <w:r w:rsidR="008D09A2" w:rsidRPr="008D09A2">
        <w:rPr>
          <w:rFonts w:ascii="AdvOT77db9845" w:hAnsi="AdvOT77db9845" w:cs="AdvOT77db9845"/>
          <w:sz w:val="28"/>
          <w:szCs w:val="28"/>
        </w:rPr>
        <w:t xml:space="preserve">s P and </w:t>
      </w:r>
      <w:proofErr w:type="spellStart"/>
      <w:r w:rsidR="008D09A2" w:rsidRPr="008D09A2">
        <w:rPr>
          <w:rFonts w:ascii="AdvOT77db9845" w:hAnsi="AdvOT77db9845" w:cs="AdvOT77db9845"/>
          <w:sz w:val="28"/>
          <w:szCs w:val="28"/>
        </w:rPr>
        <w:t>Skuce</w:t>
      </w:r>
      <w:proofErr w:type="spellEnd"/>
      <w:r w:rsidR="008D09A2" w:rsidRPr="008D09A2">
        <w:rPr>
          <w:rFonts w:ascii="AdvOT77db9845" w:hAnsi="AdvOT77db9845" w:cs="AdvOT77db9845"/>
          <w:sz w:val="28"/>
          <w:szCs w:val="28"/>
        </w:rPr>
        <w:t xml:space="preserve"> A</w:t>
      </w:r>
      <w:r w:rsidR="00D65CC6">
        <w:rPr>
          <w:rFonts w:ascii="AdvOT77db9845" w:hAnsi="AdvOT77db9845" w:cs="AdvOT77db9845"/>
          <w:sz w:val="28"/>
          <w:szCs w:val="28"/>
        </w:rPr>
        <w:t xml:space="preserve"> </w:t>
      </w:r>
      <w:r w:rsidR="008D09A2" w:rsidRPr="00D65CC6">
        <w:rPr>
          <w:rFonts w:ascii="AdvOT77db9845" w:hAnsi="AdvOT77db9845" w:cs="AdvOT77db9845"/>
          <w:sz w:val="28"/>
          <w:szCs w:val="28"/>
          <w:highlight w:val="yellow"/>
        </w:rPr>
        <w:t>2013</w:t>
      </w:r>
      <w:r w:rsidR="008D09A2" w:rsidRPr="008D09A2">
        <w:rPr>
          <w:rFonts w:ascii="AdvOT77db9845" w:hAnsi="AdvOT77db9845" w:cs="AdvOT77db9845"/>
          <w:sz w:val="28"/>
          <w:szCs w:val="28"/>
        </w:rPr>
        <w:t xml:space="preserve"> Quantifying </w:t>
      </w:r>
      <w:r w:rsidRPr="008D09A2">
        <w:rPr>
          <w:rFonts w:ascii="AdvOT77db9845" w:hAnsi="AdvOT77db9845" w:cs="AdvOT77db9845"/>
          <w:sz w:val="28"/>
          <w:szCs w:val="28"/>
        </w:rPr>
        <w:t>the consensus on anth</w:t>
      </w:r>
      <w:r w:rsidR="008D09A2" w:rsidRPr="008D09A2">
        <w:rPr>
          <w:rFonts w:ascii="AdvOT77db9845" w:hAnsi="AdvOT77db9845" w:cs="AdvOT77db9845"/>
          <w:sz w:val="28"/>
          <w:szCs w:val="28"/>
        </w:rPr>
        <w:t xml:space="preserve">ropogenic global warming in the </w:t>
      </w:r>
      <w:r w:rsidRPr="008D09A2">
        <w:rPr>
          <w:rFonts w:ascii="AdvOT77db9845" w:hAnsi="AdvOT77db9845" w:cs="AdvOT77db9845"/>
          <w:sz w:val="28"/>
          <w:szCs w:val="28"/>
        </w:rPr>
        <w:t>scienti</w:t>
      </w:r>
      <w:r w:rsidRPr="008D09A2">
        <w:rPr>
          <w:rFonts w:ascii="AdvOT77db9845+fb" w:hAnsi="AdvOT77db9845+fb" w:cs="AdvOT77db9845+fb"/>
          <w:sz w:val="28"/>
          <w:szCs w:val="28"/>
        </w:rPr>
        <w:t>fi</w:t>
      </w:r>
      <w:r w:rsidRPr="008D09A2">
        <w:rPr>
          <w:rFonts w:ascii="AdvOT77db9845" w:hAnsi="AdvOT77db9845" w:cs="AdvOT77db9845"/>
          <w:sz w:val="28"/>
          <w:szCs w:val="28"/>
        </w:rPr>
        <w:t xml:space="preserve">c literature </w:t>
      </w:r>
      <w:r w:rsidRPr="008D09A2">
        <w:rPr>
          <w:rFonts w:ascii="AdvOT255b5711.I" w:hAnsi="AdvOT255b5711.I" w:cs="AdvOT255b5711.I"/>
          <w:sz w:val="28"/>
          <w:szCs w:val="28"/>
        </w:rPr>
        <w:t xml:space="preserve">Environ. Res. Lett. </w:t>
      </w:r>
      <w:r w:rsidRPr="008D09A2">
        <w:rPr>
          <w:rFonts w:ascii="AdvOT3bbb1fa6.B" w:hAnsi="AdvOT3bbb1fa6.B" w:cs="AdvOT3bbb1fa6.B"/>
          <w:color w:val="008AD2"/>
          <w:sz w:val="28"/>
          <w:szCs w:val="28"/>
        </w:rPr>
        <w:t xml:space="preserve">8 </w:t>
      </w:r>
      <w:r w:rsidRPr="008D09A2">
        <w:rPr>
          <w:rFonts w:ascii="AdvOT77db9845" w:hAnsi="AdvOT77db9845" w:cs="AdvOT77db9845"/>
          <w:color w:val="008AD2"/>
          <w:sz w:val="28"/>
          <w:szCs w:val="28"/>
        </w:rPr>
        <w:t>024024</w:t>
      </w:r>
      <w:r w:rsidR="008D09A2" w:rsidRPr="008D09A2">
        <w:rPr>
          <w:rFonts w:ascii="AdvOT77db9845" w:hAnsi="AdvOT77db9845" w:cs="AdvOT77db9845"/>
          <w:color w:val="008AD2"/>
          <w:sz w:val="28"/>
          <w:szCs w:val="28"/>
        </w:rPr>
        <w:t xml:space="preserve">   or</w:t>
      </w:r>
    </w:p>
    <w:p w:rsidR="008D09A2" w:rsidRPr="008D09A2" w:rsidRDefault="008D09A2" w:rsidP="008D09A2">
      <w:pPr>
        <w:pStyle w:val="ListParagraph"/>
        <w:numPr>
          <w:ilvl w:val="0"/>
          <w:numId w:val="2"/>
        </w:numPr>
        <w:rPr>
          <w:rFonts w:ascii="AdvOT77db9845" w:hAnsi="AdvOT77db9845" w:cs="AdvOT77db9845"/>
          <w:sz w:val="28"/>
          <w:szCs w:val="28"/>
        </w:rPr>
      </w:pPr>
      <w:r w:rsidRPr="00D65CC6">
        <w:rPr>
          <w:rFonts w:ascii="AdvOT77db9845" w:hAnsi="AdvOT77db9845" w:cs="AdvOT77db9845"/>
          <w:sz w:val="28"/>
          <w:szCs w:val="28"/>
          <w:highlight w:val="yellow"/>
        </w:rPr>
        <w:t>C13</w:t>
      </w:r>
      <w:r w:rsidRPr="008D09A2">
        <w:rPr>
          <w:rFonts w:ascii="AdvOT77db9845" w:hAnsi="AdvOT77db9845" w:cs="AdvOT77db9845"/>
          <w:sz w:val="28"/>
          <w:szCs w:val="28"/>
        </w:rPr>
        <w:t xml:space="preserve"> or</w:t>
      </w:r>
    </w:p>
    <w:p w:rsidR="00710FA5" w:rsidRPr="00D65CC6" w:rsidRDefault="008D09A2" w:rsidP="008D09A2">
      <w:pPr>
        <w:pStyle w:val="ListParagraph"/>
        <w:numPr>
          <w:ilvl w:val="0"/>
          <w:numId w:val="2"/>
        </w:numPr>
        <w:rPr>
          <w:rFonts w:ascii="AdvOT77db9845" w:hAnsi="AdvOT77db9845" w:cs="AdvOT77db9845"/>
          <w:sz w:val="28"/>
          <w:szCs w:val="28"/>
        </w:rPr>
      </w:pPr>
      <w:r w:rsidRPr="00D65CC6">
        <w:rPr>
          <w:rFonts w:ascii="AdvOT77db9845" w:hAnsi="AdvOT77db9845" w:cs="AdvOT77db9845"/>
          <w:sz w:val="28"/>
          <w:szCs w:val="28"/>
          <w:highlight w:val="yellow"/>
        </w:rPr>
        <w:t xml:space="preserve">Cook </w:t>
      </w:r>
      <w:r w:rsidRPr="00D65CC6">
        <w:rPr>
          <w:rFonts w:ascii="AdvOT77db9845" w:hAnsi="AdvOT77db9845" w:cs="AdvOT77db9845"/>
          <w:i/>
          <w:sz w:val="28"/>
          <w:szCs w:val="28"/>
          <w:highlight w:val="yellow"/>
        </w:rPr>
        <w:t>et al</w:t>
      </w:r>
    </w:p>
    <w:p w:rsidR="00D65CC6" w:rsidRPr="008D09A2" w:rsidRDefault="00D65CC6" w:rsidP="008D09A2">
      <w:pPr>
        <w:pStyle w:val="ListParagraph"/>
        <w:numPr>
          <w:ilvl w:val="0"/>
          <w:numId w:val="2"/>
        </w:numPr>
        <w:rPr>
          <w:rFonts w:ascii="AdvOT77db9845" w:hAnsi="AdvOT77db9845" w:cs="AdvOT77db9845"/>
          <w:sz w:val="28"/>
          <w:szCs w:val="28"/>
        </w:rPr>
      </w:pPr>
      <w:r w:rsidRPr="00D65CC6">
        <w:rPr>
          <w:rFonts w:ascii="AdvOT77db9845" w:hAnsi="AdvOT77db9845" w:cs="AdvOT77db9845"/>
          <w:sz w:val="28"/>
          <w:szCs w:val="28"/>
          <w:highlight w:val="yellow"/>
        </w:rPr>
        <w:t xml:space="preserve">Cook </w:t>
      </w:r>
      <w:r w:rsidRPr="00D65CC6">
        <w:rPr>
          <w:rFonts w:ascii="AdvOT77db9845" w:hAnsi="AdvOT77db9845" w:cs="AdvOT77db9845"/>
          <w:i/>
          <w:sz w:val="28"/>
          <w:szCs w:val="28"/>
          <w:highlight w:val="yellow"/>
        </w:rPr>
        <w:t>et a</w:t>
      </w:r>
      <w:bookmarkStart w:id="0" w:name="_GoBack"/>
      <w:r w:rsidRPr="00D65CC6">
        <w:rPr>
          <w:rFonts w:ascii="AdvOT77db9845" w:hAnsi="AdvOT77db9845" w:cs="AdvOT77db9845"/>
          <w:i/>
          <w:sz w:val="28"/>
          <w:szCs w:val="28"/>
          <w:highlight w:val="yellow"/>
        </w:rPr>
        <w:t>l</w:t>
      </w:r>
      <w:r>
        <w:rPr>
          <w:rFonts w:ascii="AdvOT77db9845" w:hAnsi="AdvOT77db9845" w:cs="AdvOT77db9845"/>
          <w:i/>
          <w:sz w:val="28"/>
          <w:szCs w:val="28"/>
        </w:rPr>
        <w:t xml:space="preserve"> 2013</w:t>
      </w:r>
      <w:bookmarkEnd w:id="0"/>
    </w:p>
    <w:p w:rsidR="001D7F91" w:rsidRPr="00710FA5" w:rsidRDefault="00F734A9" w:rsidP="00710FA5">
      <w:pPr>
        <w:autoSpaceDE w:val="0"/>
        <w:autoSpaceDN w:val="0"/>
        <w:adjustRightInd w:val="0"/>
        <w:spacing w:after="0" w:line="240" w:lineRule="auto"/>
        <w:rPr>
          <w:rFonts w:ascii="AdvOT77db9845" w:hAnsi="AdvOT77db9845" w:cs="AdvOT77db9845"/>
          <w:color w:val="000000"/>
          <w:sz w:val="20"/>
          <w:szCs w:val="20"/>
        </w:rPr>
      </w:pPr>
    </w:p>
    <w:sectPr w:rsidR="001D7F91" w:rsidRPr="00710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OT77db9845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vOT77db9845+f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OT255b5711.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3bbb1fa6.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B55D0"/>
    <w:multiLevelType w:val="hybridMultilevel"/>
    <w:tmpl w:val="B86A3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D4268"/>
    <w:multiLevelType w:val="hybridMultilevel"/>
    <w:tmpl w:val="AC388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A5"/>
    <w:rsid w:val="003037F3"/>
    <w:rsid w:val="004F3A02"/>
    <w:rsid w:val="00710FA5"/>
    <w:rsid w:val="008D09A2"/>
    <w:rsid w:val="00D65CC6"/>
    <w:rsid w:val="00F7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212EA-3464-4E4D-99CA-1C9236D3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pJh1xtg2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nfccc6.meta-fusion.com/cop21/events/2015-11-30-14-45-leaders-event/his-excellency-mr-david-cameron-prime-minister-of-united-kingdom-of-great-britain-and-northern-ireland-the" TargetMode="External"/><Relationship Id="rId5" Type="http://schemas.openxmlformats.org/officeDocument/2006/relationships/hyperlink" Target="https://www.youtube.com/watch?v=Njj9YV6OX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2</cp:revision>
  <dcterms:created xsi:type="dcterms:W3CDTF">2020-01-07T14:50:00Z</dcterms:created>
  <dcterms:modified xsi:type="dcterms:W3CDTF">2020-01-07T15:56:00Z</dcterms:modified>
</cp:coreProperties>
</file>